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附件1</w:t>
      </w:r>
    </w:p>
    <w:p>
      <w:pPr>
        <w:spacing w:line="60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kern w:val="11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11"/>
          <w:sz w:val="36"/>
          <w:szCs w:val="36"/>
        </w:rPr>
        <w:t>宁夏2018年教师资格认定机构公告</w:t>
      </w:r>
    </w:p>
    <w:p>
      <w:pPr>
        <w:spacing w:line="60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kern w:val="11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11"/>
          <w:sz w:val="36"/>
          <w:szCs w:val="36"/>
        </w:rPr>
        <w:t>发布平台及联系电话</w:t>
      </w:r>
    </w:p>
    <w:p>
      <w:pPr>
        <w:spacing w:line="60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kern w:val="11"/>
          <w:sz w:val="44"/>
          <w:szCs w:val="44"/>
        </w:rPr>
      </w:pPr>
    </w:p>
    <w:tbl>
      <w:tblPr>
        <w:tblStyle w:val="4"/>
        <w:tblW w:w="9104" w:type="dxa"/>
        <w:tblInd w:w="-17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710"/>
        <w:gridCol w:w="1701"/>
        <w:gridCol w:w="2126"/>
        <w:gridCol w:w="456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539" w:hRule="atLeast"/>
        </w:trPr>
        <w:tc>
          <w:tcPr>
            <w:tcW w:w="710" w:type="dxa"/>
            <w:tcBorders>
              <w:top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序号</w:t>
            </w:r>
          </w:p>
        </w:tc>
        <w:tc>
          <w:tcPr>
            <w:tcW w:w="1701" w:type="dxa"/>
            <w:tcBorders>
              <w:top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单位名称</w:t>
            </w:r>
          </w:p>
        </w:tc>
        <w:tc>
          <w:tcPr>
            <w:tcW w:w="2126" w:type="dxa"/>
            <w:tcBorders>
              <w:top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办公电话</w:t>
            </w:r>
          </w:p>
        </w:tc>
        <w:tc>
          <w:tcPr>
            <w:tcW w:w="4567" w:type="dxa"/>
            <w:tcBorders>
              <w:top w:val="single" w:color="000000" w:sz="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认定公告发布平台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17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宁夏教育厅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0951-5559130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0951-5559105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宁夏回族自治区教育厅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"http://www.nxedu.gov.cn"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http://www.nxedu.gov.cn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69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宁夏高等学校师资培训中心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0951-5063017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宁夏高等学校师资培训中心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"http://gspx.nxu.edu.cn/index.htm"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http://gspx.nxu.edu.cn/index.</w:t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html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72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银川市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0951-6888715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0951-5555539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银川市教育局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"http://www.ycjyj.gov.cn"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>http://www.ycjyj.gov.cn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银川市行政审批服务局</w:t>
            </w:r>
          </w:p>
          <w:p>
            <w:pPr>
              <w:widowControl/>
              <w:ind w:firstLine="600" w:firstLineChars="250"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"http://www.ycsxzspfwj.gov.cn"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http://www.ycsxzspfwj.gov.cn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760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兴庆区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0951-6712745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兴庆教育网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"http://www.xqqedu.gov.cn/"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http://www.xqqedu.gov.cn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15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金凤区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0951-5671452,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0951-5671103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金凤教育网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"http://www.jinfengedu.com"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>http://www.jinfengedu.com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799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西夏区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0951-2077833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西夏区教育局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"http://www.xxqeduyun.cn"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http://www.xx</w:t>
            </w:r>
            <w:bookmarkStart w:id="0" w:name="_Hlt504571624"/>
            <w:bookmarkStart w:id="1" w:name="_Hlt504571625"/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q</w:t>
            </w:r>
            <w:bookmarkEnd w:id="0"/>
            <w:bookmarkEnd w:id="1"/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eduyun.cn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25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灵武市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0951－4039619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灵武教育信息网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"http://www.nxlwjy.gov.cn"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http://www.nxlwjy.gov.cn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23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贺兰县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0951-8066193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贺兰教育网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instrText xml:space="preserve"> HYPERLINK "http://www.helanedu.cn/"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fldChar w:fldCharType="separate"/>
            </w:r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http://www.helanedu.cn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07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永宁县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0951—8019498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永宁县人民政府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"http://nxyn.gov.cn/"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http://nxyn.gov.cn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19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石嘴山市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0952-3963610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石嘴山市教育体育信息化公共服务平台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"http://www.szsedu.gov.cn"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http://www.szsed</w:t>
            </w:r>
            <w:bookmarkStart w:id="2" w:name="_Hlt504572495"/>
            <w:bookmarkStart w:id="3" w:name="_Hlt504572496"/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u</w:t>
            </w:r>
            <w:bookmarkEnd w:id="2"/>
            <w:bookmarkEnd w:id="3"/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.</w:t>
            </w:r>
            <w:bookmarkStart w:id="4" w:name="_Hlt504573263"/>
            <w:bookmarkStart w:id="5" w:name="_Hlt504573264"/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g</w:t>
            </w:r>
            <w:bookmarkEnd w:id="4"/>
            <w:bookmarkEnd w:id="5"/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ov.cn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17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大武口区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0952-2022719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石嘴山市大武口区教育体育局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"http://dwkedu.30edu.com.cn"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http://dwkedu.30ed</w:t>
            </w:r>
            <w:bookmarkStart w:id="6" w:name="_Hlt504572195"/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u</w:t>
            </w:r>
            <w:bookmarkEnd w:id="6"/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.com.cn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15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惠农区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0952-3977986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惠农教育网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"http://hnjyj.30edu.com.cn"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http:/</w:t>
            </w:r>
            <w:bookmarkStart w:id="7" w:name="_Hlt504572202"/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/</w:t>
            </w:r>
            <w:bookmarkEnd w:id="7"/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hnjyj.</w:t>
            </w:r>
            <w:bookmarkStart w:id="8" w:name="_Hlt504571947"/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3</w:t>
            </w:r>
            <w:bookmarkEnd w:id="8"/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0edu.com.cn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761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平罗县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0952-3816122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平罗县教育公共服务平台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"http://www.plxedu.cn/index.shtml"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http://www.plxedu.cn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14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吴忠市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0953-2037963  0953-2037979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吴忠市政府门户网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"http://www.wuzhong.gov.cn/sy/gsgg/"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http://www.wuzhong.gov.cn/sy/gsgg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72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青铜峡市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0953--3069163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青铜峡政务网</w:t>
            </w:r>
          </w:p>
          <w:p>
            <w:pPr>
              <w:widowControl/>
              <w:jc w:val="center"/>
              <w:rPr>
                <w:rFonts w:hint="eastAsia" w:ascii="仿宋_GB2312" w:hAnsi="Calibri" w:eastAsia="仿宋_GB2312" w:cs="宋体"/>
                <w:kern w:val="0"/>
                <w:sz w:val="24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Calibri" w:eastAsia="仿宋_GB2312" w:cs="宋体"/>
                <w:kern w:val="0"/>
                <w:sz w:val="24"/>
              </w:rPr>
              <w:instrText xml:space="preserve"> HYPERLINK "http://www.qtx.gov.cn/" </w:instrText>
            </w:r>
            <w:r>
              <w:rPr>
                <w:rFonts w:hint="eastAsia" w:ascii="仿宋_GB2312" w:hAnsi="Calibri" w:eastAsia="仿宋_GB2312" w:cs="宋体"/>
                <w:kern w:val="0"/>
                <w:sz w:val="24"/>
              </w:rPr>
              <w:fldChar w:fldCharType="separate"/>
            </w:r>
            <w:r>
              <w:rPr>
                <w:rStyle w:val="3"/>
                <w:rFonts w:hint="eastAsia" w:ascii="仿宋_GB2312" w:hAnsi="Calibri" w:eastAsia="仿宋_GB2312" w:cs="宋体"/>
                <w:color w:val="auto"/>
                <w:kern w:val="0"/>
                <w:sz w:val="24"/>
              </w:rPr>
              <w:t>http://www.q</w:t>
            </w:r>
            <w:bookmarkStart w:id="9" w:name="_Hlt504574627"/>
            <w:bookmarkStart w:id="10" w:name="_Hlt504574628"/>
            <w:r>
              <w:rPr>
                <w:rStyle w:val="3"/>
                <w:rFonts w:hint="eastAsia" w:ascii="仿宋_GB2312" w:hAnsi="Calibri" w:eastAsia="仿宋_GB2312" w:cs="宋体"/>
                <w:color w:val="auto"/>
                <w:kern w:val="0"/>
                <w:sz w:val="24"/>
              </w:rPr>
              <w:t>t</w:t>
            </w:r>
            <w:bookmarkEnd w:id="9"/>
            <w:bookmarkEnd w:id="10"/>
            <w:r>
              <w:rPr>
                <w:rStyle w:val="3"/>
                <w:rFonts w:hint="eastAsia" w:ascii="仿宋_GB2312" w:hAnsi="Calibri" w:eastAsia="仿宋_GB2312" w:cs="宋体"/>
                <w:color w:val="auto"/>
                <w:kern w:val="0"/>
                <w:sz w:val="24"/>
              </w:rPr>
              <w:t>x.gov.cn</w:t>
            </w:r>
            <w:r>
              <w:rPr>
                <w:rFonts w:hint="eastAsia" w:ascii="仿宋_GB2312" w:hAnsi="Calibri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72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红寺堡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0953-5091878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红寺堡区教育局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"http://k12.nxeduyun.com/index.php?r=space/org/index&amp;sid=b1ef43c744dc434286f5b58c977810a0"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>http://k12.nxeduyun.com/index.php?r=space/org/index&amp;sid=b1ef43c744dc434286f5b58c977810a0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72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同心县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0953-8022366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同心县教育信息网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"http://txxjwtj.30edu.com.cn/"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http://tx</w:t>
            </w:r>
            <w:bookmarkStart w:id="11" w:name="_Hlt504572684"/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x</w:t>
            </w:r>
            <w:bookmarkEnd w:id="11"/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jwtj.30edu.com.cn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72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16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盐池县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0953-6024908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盐池县教育局，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"http://k12.nxeduyun.com/index.php?r=space/org/index&amp;sid=29f0c59d7548455ca4522c5e5e8b4d7b"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>http://k12.nxeduyun.com/index.php?r=space/org/ind</w:t>
            </w:r>
            <w:bookmarkStart w:id="12" w:name="_Hlt504572719"/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>e</w:t>
            </w:r>
            <w:bookmarkEnd w:id="12"/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>x&amp;s</w:t>
            </w:r>
            <w:bookmarkStart w:id="13" w:name="_Hlt504572714"/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>i</w:t>
            </w:r>
            <w:bookmarkEnd w:id="13"/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>d</w:t>
            </w:r>
            <w:bookmarkStart w:id="14" w:name="_Hlt504572451"/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>=</w:t>
            </w:r>
            <w:bookmarkEnd w:id="14"/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>29f0c59d7548455ca4522c5e5e8</w:t>
            </w:r>
            <w:bookmarkStart w:id="15" w:name="_Hlt504572724"/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>b</w:t>
            </w:r>
            <w:bookmarkEnd w:id="15"/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>4d</w:t>
            </w:r>
            <w:bookmarkStart w:id="16" w:name="_Hlt504572721"/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>7</w:t>
            </w:r>
            <w:bookmarkEnd w:id="16"/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>b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09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17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固原市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0954--2088923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固原市教育局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"http://jyj.nxgy.gov.cn/"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http://jyj.nxgy</w:t>
            </w:r>
            <w:bookmarkStart w:id="17" w:name="_Hlt504574440"/>
            <w:bookmarkStart w:id="18" w:name="_Hlt504574441"/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.</w:t>
            </w:r>
            <w:bookmarkEnd w:id="17"/>
            <w:bookmarkEnd w:id="18"/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gov.cn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23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18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原州区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0954-2031894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原州区教育云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"http://yz.nxeduyun.com"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http://yz.nxeduyun.com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05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19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西吉县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0954—3015583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西吉县人民政府网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"http://www.nxxj.gov.cn"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>http://www.nx</w:t>
            </w:r>
            <w:bookmarkStart w:id="19" w:name="_Hlt504573157"/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>x</w:t>
            </w:r>
            <w:bookmarkEnd w:id="19"/>
            <w:r>
              <w:rPr>
                <w:rFonts w:hint="eastAsia" w:ascii="仿宋_GB2312" w:hAnsi="宋体" w:eastAsia="仿宋_GB2312" w:cs="宋体"/>
                <w:kern w:val="0"/>
                <w:sz w:val="24"/>
                <w:u w:val="single"/>
              </w:rPr>
              <w:t>j.gov.cn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17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20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隆德县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0954-6011197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隆德县教育体育局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"http://nxldxjytyj.30edu.com.cn/"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http://nxldxjytyj.30e</w:t>
            </w:r>
            <w:bookmarkStart w:id="20" w:name="_Hlt504573192"/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d</w:t>
            </w:r>
            <w:bookmarkEnd w:id="20"/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u.com.cn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15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21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彭阳县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0954-7012521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彭阳县委政府门户网站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"http://www.pengyang.gov.cn"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http://www.pe</w:t>
            </w:r>
            <w:bookmarkStart w:id="21" w:name="_Hlt504573199"/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n</w:t>
            </w:r>
            <w:bookmarkEnd w:id="21"/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gyang.gov.cn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1380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22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泾源县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0954--5013629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宋体"/>
                <w:kern w:val="0"/>
                <w:sz w:val="24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</w:rPr>
              <w:t>泾源县教育体育局</w:t>
            </w:r>
            <w:r>
              <w:rPr>
                <w:rFonts w:hint="eastAsia" w:ascii="仿宋_GB2312" w:hAnsi="Calibri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Calibri" w:eastAsia="仿宋_GB2312" w:cs="宋体"/>
                <w:kern w:val="0"/>
                <w:sz w:val="24"/>
              </w:rPr>
              <w:instrText xml:space="preserve"> HYPERLINK "http://k12.nxeduyun.com/index.php?r=space/org/index&amp;sid=f74894f9c2b946538e1459fdf57d650d" </w:instrText>
            </w:r>
            <w:r>
              <w:rPr>
                <w:rFonts w:hint="eastAsia" w:ascii="仿宋_GB2312" w:hAnsi="Calibri" w:eastAsia="仿宋_GB2312" w:cs="宋体"/>
                <w:kern w:val="0"/>
                <w:sz w:val="24"/>
              </w:rPr>
              <w:fldChar w:fldCharType="separate"/>
            </w:r>
            <w:r>
              <w:rPr>
                <w:rStyle w:val="3"/>
                <w:rFonts w:hint="eastAsia" w:ascii="仿宋_GB2312" w:hAnsi="Calibri" w:eastAsia="仿宋_GB2312" w:cs="宋体"/>
                <w:color w:val="auto"/>
                <w:kern w:val="0"/>
                <w:sz w:val="24"/>
              </w:rPr>
              <w:t>http://k12.n</w:t>
            </w:r>
            <w:bookmarkStart w:id="22" w:name="_Hlt504573206"/>
            <w:bookmarkStart w:id="23" w:name="_Hlt504573207"/>
            <w:r>
              <w:rPr>
                <w:rStyle w:val="3"/>
                <w:rFonts w:hint="eastAsia" w:ascii="仿宋_GB2312" w:hAnsi="Calibri" w:eastAsia="仿宋_GB2312" w:cs="宋体"/>
                <w:color w:val="auto"/>
                <w:kern w:val="0"/>
                <w:sz w:val="24"/>
              </w:rPr>
              <w:t>x</w:t>
            </w:r>
            <w:bookmarkEnd w:id="22"/>
            <w:bookmarkEnd w:id="23"/>
            <w:r>
              <w:rPr>
                <w:rStyle w:val="3"/>
                <w:rFonts w:hint="eastAsia" w:ascii="仿宋_GB2312" w:hAnsi="Calibri" w:eastAsia="仿宋_GB2312" w:cs="宋体"/>
                <w:color w:val="auto"/>
                <w:kern w:val="0"/>
                <w:sz w:val="24"/>
              </w:rPr>
              <w:t>eduyun.com/index.php?r=space/org/index&amp;sid=f74894f9c2b946538e1459fdf57d650d</w:t>
            </w:r>
            <w:r>
              <w:rPr>
                <w:rFonts w:hint="eastAsia" w:ascii="仿宋_GB2312" w:hAnsi="Calibri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18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23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中卫市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0955-7028673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中卫市教育局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"http://www.nxzwjy.com"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http://www.nxzwjy.com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817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24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中宁县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0955-5036319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中宁县教育体育局网站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instrText xml:space="preserve"> HYPERLINK "http://k12.nxeduyun.com/org/znxjyj" </w:instrTex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separate"/>
            </w:r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http://k12.nxeduyu</w:t>
            </w:r>
            <w:bookmarkStart w:id="24" w:name="_Hlt504573213"/>
            <w:bookmarkStart w:id="25" w:name="_Hlt504573214"/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n</w:t>
            </w:r>
            <w:bookmarkEnd w:id="24"/>
            <w:bookmarkEnd w:id="25"/>
            <w:r>
              <w:rPr>
                <w:rStyle w:val="3"/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.com/org/znxjyj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fldChar w:fldCharType="end"/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Layout w:type="fixed"/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372" w:hRule="atLeast"/>
        </w:trPr>
        <w:tc>
          <w:tcPr>
            <w:tcW w:w="710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25</w:t>
            </w:r>
          </w:p>
        </w:tc>
        <w:tc>
          <w:tcPr>
            <w:tcW w:w="1701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海原县</w:t>
            </w:r>
          </w:p>
        </w:tc>
        <w:tc>
          <w:tcPr>
            <w:tcW w:w="212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0955-4017813</w:t>
            </w:r>
          </w:p>
        </w:tc>
        <w:tc>
          <w:tcPr>
            <w:tcW w:w="4567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宋体"/>
                <w:kern w:val="0"/>
                <w:sz w:val="24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</w:rPr>
              <w:t>海原县人民政府网</w:t>
            </w:r>
          </w:p>
          <w:p>
            <w:pPr>
              <w:widowControl/>
              <w:jc w:val="center"/>
              <w:rPr>
                <w:rFonts w:hint="eastAsia" w:ascii="仿宋_GB2312" w:hAnsi="Calibri" w:eastAsia="仿宋_GB2312" w:cs="宋体"/>
                <w:kern w:val="0"/>
                <w:sz w:val="24"/>
              </w:rPr>
            </w:pPr>
            <w:r>
              <w:rPr>
                <w:rFonts w:hint="eastAsia" w:ascii="仿宋_GB2312" w:hAnsi="Calibri" w:eastAsia="仿宋_GB2312" w:cs="宋体"/>
                <w:kern w:val="0"/>
                <w:sz w:val="24"/>
              </w:rPr>
              <w:fldChar w:fldCharType="begin"/>
            </w:r>
            <w:r>
              <w:rPr>
                <w:rFonts w:hint="eastAsia" w:ascii="仿宋_GB2312" w:hAnsi="Calibri" w:eastAsia="仿宋_GB2312" w:cs="宋体"/>
                <w:kern w:val="0"/>
                <w:sz w:val="24"/>
              </w:rPr>
              <w:instrText xml:space="preserve"> HYPERLINK "http://www.hy.gov.cn/" </w:instrText>
            </w:r>
            <w:r>
              <w:rPr>
                <w:rFonts w:hint="eastAsia" w:ascii="仿宋_GB2312" w:hAnsi="Calibri" w:eastAsia="仿宋_GB2312" w:cs="宋体"/>
                <w:kern w:val="0"/>
                <w:sz w:val="24"/>
              </w:rPr>
              <w:fldChar w:fldCharType="separate"/>
            </w:r>
            <w:r>
              <w:rPr>
                <w:rStyle w:val="3"/>
                <w:rFonts w:hint="eastAsia" w:ascii="仿宋_GB2312" w:hAnsi="Calibri" w:eastAsia="仿宋_GB2312" w:cs="宋体"/>
                <w:color w:val="auto"/>
                <w:kern w:val="0"/>
                <w:sz w:val="24"/>
              </w:rPr>
              <w:t>http://w</w:t>
            </w:r>
            <w:bookmarkStart w:id="26" w:name="_Hlt504573219"/>
            <w:bookmarkStart w:id="27" w:name="_Hlt504573220"/>
            <w:r>
              <w:rPr>
                <w:rStyle w:val="3"/>
                <w:rFonts w:hint="eastAsia" w:ascii="仿宋_GB2312" w:hAnsi="Calibri" w:eastAsia="仿宋_GB2312" w:cs="宋体"/>
                <w:color w:val="auto"/>
                <w:kern w:val="0"/>
                <w:sz w:val="24"/>
              </w:rPr>
              <w:t>w</w:t>
            </w:r>
            <w:bookmarkEnd w:id="26"/>
            <w:bookmarkEnd w:id="27"/>
            <w:r>
              <w:rPr>
                <w:rStyle w:val="3"/>
                <w:rFonts w:hint="eastAsia" w:ascii="仿宋_GB2312" w:hAnsi="Calibri" w:eastAsia="仿宋_GB2312" w:cs="宋体"/>
                <w:color w:val="auto"/>
                <w:kern w:val="0"/>
                <w:sz w:val="24"/>
              </w:rPr>
              <w:t>w.hy.gov.cn</w:t>
            </w:r>
            <w:r>
              <w:rPr>
                <w:rFonts w:hint="eastAsia" w:ascii="仿宋_GB2312" w:hAnsi="Calibri" w:eastAsia="仿宋_GB2312" w:cs="宋体"/>
                <w:kern w:val="0"/>
                <w:sz w:val="24"/>
              </w:rPr>
              <w:fldChar w:fldCharType="end"/>
            </w:r>
          </w:p>
        </w:tc>
      </w:tr>
    </w:tbl>
    <w:p>
      <w:pPr>
        <w:widowControl/>
        <w:spacing w:line="760" w:lineRule="exact"/>
        <w:jc w:val="lef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附件2</w:t>
      </w:r>
    </w:p>
    <w:p>
      <w:pPr>
        <w:autoSpaceDN w:val="0"/>
        <w:spacing w:before="225" w:line="560" w:lineRule="exact"/>
        <w:jc w:val="center"/>
        <w:rPr>
          <w:rFonts w:hint="eastAsia" w:ascii="方正小标宋_GBK" w:hAnsi="新宋体" w:eastAsia="方正小标宋_GBK" w:cs="新宋体"/>
          <w:sz w:val="36"/>
          <w:szCs w:val="36"/>
        </w:rPr>
      </w:pPr>
      <w:r>
        <w:rPr>
          <w:rFonts w:hint="eastAsia" w:ascii="方正小标宋_GBK" w:hAnsi="新宋体" w:eastAsia="方正小标宋_GBK" w:cs="新宋体"/>
          <w:sz w:val="36"/>
          <w:szCs w:val="36"/>
        </w:rPr>
        <w:t>宁夏回族自治区认定教师资格体检标准及办法</w:t>
      </w:r>
    </w:p>
    <w:p>
      <w:pPr>
        <w:widowControl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为顺利实施教师资格制度，根据《教师法》、《教师资格条例》、《&lt;教师资格条例&gt;实施办法》和《宁夏回族自治区教师资格制度实施细则》，参照《普通高等学校招生体检工作指导意见》、《公务员录用体检通用标准》等，结合我区教师资格认定工作实际制定本办法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一、本办法适用的对象为申请认定教师资格者。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二、体检结果分为合格、不合格。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（一）严重心脏病、心肌病，不合格。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pacing w:val="-8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先</w:t>
      </w:r>
      <w:r>
        <w:rPr>
          <w:rFonts w:hint="eastAsia" w:ascii="仿宋_GB2312" w:hAnsi="仿宋_GB2312" w:eastAsia="仿宋_GB2312" w:cs="仿宋_GB2312"/>
          <w:spacing w:val="-8"/>
          <w:sz w:val="32"/>
          <w:szCs w:val="32"/>
        </w:rPr>
        <w:t>天性心脏病经手术治愈或室间隔缺损分流量少、动脉导管未闭返流血量少，经二级以上医院专科检查确定无需手术者，合格。</w:t>
      </w:r>
    </w:p>
    <w:p>
      <w:pPr>
        <w:shd w:val="solid" w:color="FFFFFF" w:fill="auto"/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（二）结核病未治愈者不合格。</w:t>
      </w:r>
    </w:p>
    <w:p>
      <w:pPr>
        <w:shd w:val="solid" w:color="FFFFFF" w:fill="auto"/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原发性肺结核、继发性肺结核、结核性胸膜炎，临床治愈后稳定1年无变化者，合格。</w:t>
      </w:r>
    </w:p>
    <w:p>
      <w:pPr>
        <w:shd w:val="solid" w:color="FFFFFF" w:fill="auto"/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    肺外结核病：肾结核、骨结核、腹膜结核、淋巴结核等，临床治愈后2年无复发，经</w:t>
      </w:r>
      <w:r>
        <w:rPr>
          <w:rFonts w:hint="eastAsia" w:ascii="仿宋_GB2312" w:hAnsi="仿宋_GB2312" w:eastAsia="仿宋_GB2312" w:cs="仿宋_GB2312"/>
          <w:sz w:val="32"/>
          <w:szCs w:val="32"/>
        </w:rPr>
        <w:t>二级以上医院（或结核病防治所）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检查无变化者，合格。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（三）严重的血液病，不合格。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单纯性缺铁性贫血，血红蛋白男性高于90g／L、女性高于80g／L，合格。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慢性支气管炎伴阻塞性肺气肿、严重支气管扩张、严重支气管哮喘，不合格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严重慢性胃、肠疾病不合格。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    胃溃疡或十二指肠溃疡已愈合，且1年内无出血史，1年以上无症状者，合格。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    胃次全切除术后无严重并发症者，合格。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（六）各种急慢性肝炎和肝硬化不合格。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（七）恶性肿瘤不合格。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（八）慢性肾炎、慢性肾盂炎、多囊肾、肾功能不全，或急性肾炎治愈不足两年，不合格。    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（九）</w:t>
      </w:r>
      <w:r>
        <w:rPr>
          <w:rFonts w:hint="eastAsia" w:ascii="仿宋_GB2312" w:hAnsi="仿宋_GB2312" w:eastAsia="仿宋_GB2312" w:cs="仿宋_GB2312"/>
          <w:sz w:val="32"/>
          <w:szCs w:val="32"/>
        </w:rPr>
        <w:t>I型糖尿病、II型糖尿病，伴心、脑、肾、眼及末梢循环等其他器官功能严重受损者，不合格。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尿崩症、肢端肥大症等内分泌系统疾病患者，不合格。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甲状腺功能亢进治愈后1年无症状和体征者，合格。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    （十）有癫痫病史、精神病史、癔病史、严重的神经官能症（经常头痛头晕、失眠、记忆力明显下降等），精神活性物质滥用和依赖者，不合格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    （十一）红斑狼疮、皮肌炎和多发性肌炎、硬皮病、结节性多动脉炎、类风湿性关节炎等各种弥漫性结缔组织疾病，大动脉炎，不合格。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    （十二）淋病、梅毒、软下疳、性病性淋巴肉芽肿、尖锐湿疣、生殖器疱疹，艾滋病，不合格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 xml:space="preserve">    （十三）晚期血吸虫病，晚期血丝虫病兼有橡皮肿或有乳糜尿，不合格。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（十四）色盲、色弱，幼儿园教师资格，不合格。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（十五）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青光眼、视网膜、视神经疾病，不合格。陈旧性或稳定性眼底病，合格。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（十六）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双耳均有听力障碍，在佩戴助听器情况下，双耳在3米以内耳语仍听不见者，不合格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（十七）四肢有一肢缺失或不能运动，借助辅助工具仍不能完成教学者，不合格。</w:t>
      </w:r>
    </w:p>
    <w:p>
      <w:pPr>
        <w:autoSpaceDN w:val="0"/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（十八）语言残疾或口腔有生理缺陷及耳、鼻、喉疾病之一并妨碍发音者，不合格。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（十九）面部有较大面积（3×3厘米）疤痕、血管瘤、白癜风、色素痣，或斜颈、面瘫、唇腭裂及其手术后遗症、一眼失明及五官先天或后天性残缺、畸形等严重影响面容者，幼儿园、小学教师资格，不合格。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（二十）申请幼儿园教师资格，淋球菌、梅毒螺旋体和妇科滴虫、外阴阴道假丝酵母菌（念球菌）检查阳性者，不合格。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三、体检机构：由各级教师资格认定机构指定的二级以上医院、体检中心负责体检。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四、体检要求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一）对申请认定教师资格者开展体检工作，是全面实施教师资格制度的重要环节。各级教师资格认定机构要高度重视、提高认识，切实做好宣传教育和组织工作，加大对体检工作的协调、指导、督促检查力度，及时负责地解决体检工作中出现的疑难问题，确保体检工作的顺利进行。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二）体检医院要指定一名副院长负责体检的具体工作，并选调政治思想素质好、工作责任心强、作风正派、业务水平高的体检医师、护士和工作人员组成检查队伍。在每次体检前，应组织全体检查人员认真学习有关政策规定和“体检标准及办法”，进行必要的业务培训，制定相应的工作措施和奖惩制度。体检过程中，体检表、检验单必须由医院指定专人传递和集中保管。每项检查，应指定专人组织，逐个对照检查，以防漏检或作弊。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三）参加体检的各科医生对本科所检的项目负责，不得漏填或错填。发现阳性体征，一律如实记入体检表内，不得随意涂改。如确需更正的，应在被更改结果上横腰划一条横杆，使被更改的字迹能清晰可见，然后在左边写上更改后的论断或数据，主检医生在更改后要签名，并加盖体检医院公章，以示负责。疾病名称、化验结果及体检结论，均应用中文填写。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四）主检医师应及时综合各科检查结果，全面检查无误后，对照认定教师资格“体检标准”作出“合格”或“不合格”的结论，填写在体检结论栏内。医院根据体检综合情况，作出“体检合格”或“体检不合格”的结论，由负责院长签字并加盖公章，填写在体检医院意见栏内。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五）体检中若发现有疑难问题，应采取集体会诊或进一步检查后再下结论。若因设备条件限制或会诊仍难判断者，应到教师资格认定机构指定的医院复查。复查时，只限单科复查，并用原体检表。复查医院对体检医院的诊断结论否定时，要在诊断证明书上详注复查结果。申请人在其他医疗机构自行取得的任何体检材料，均不得作为当事人申请认定教师资格健康状况的依据。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（六）对申请认定教师资格者进行体检是一项十分严肃的工作，体检医院必须做到思想认识到位，医务人员配置到位，医疗设备准备到位，做到客观公正、实事求是，确保体检结论准确、及时。对弄虚作假者，除取消当事人认定的教师资格外，对责任人要严肃处理。体检医院出现严重问题的，教师资格认定机构要及时取消其体检资格并通报批评。</w:t>
      </w:r>
    </w:p>
    <w:p>
      <w:pPr>
        <w:spacing w:line="6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五、对具有硕士研究生及以上学历层次者，或高等学校拟聘任任教人员申请认定高等学校教师资格，在部分体检项目标准的执行上可适当放宽，但必须委托相应的教师资格审查委员会审查通过。</w:t>
      </w:r>
    </w:p>
    <w:p>
      <w:pPr>
        <w:autoSpaceDN w:val="0"/>
        <w:spacing w:line="6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六、本办法自下发之日起执行，原办法自本办法实施之日起废止。本办法由宁夏回族自治区教育厅负责解释。</w:t>
      </w:r>
    </w:p>
    <w:p/>
    <w:p>
      <w:bookmarkStart w:id="28" w:name="_GoBack"/>
      <w:bookmarkEnd w:id="2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A407BF"/>
    <w:rsid w:val="3AA407BF"/>
    <w:rsid w:val="47DB4C47"/>
    <w:rsid w:val="4F82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2018-03-20T03:40:00Z</dcterms:created>
  <dc:creator>白露为霜</dc:creator>
  <cp:lastModifiedBy>い散落漫天回忆的碎片</cp:lastModifiedBy>
  <dcterms:modified xsi:type="dcterms:W3CDTF">2018-09-27T08:21:30Z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